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4"/>
        <w:ind w:left="751"/>
      </w:pPr>
      <w:r>
        <w:rPr/>
        <w:t>Anexo</w:t>
      </w:r>
      <w:r>
        <w:rPr>
          <w:spacing w:val="-6"/>
        </w:rPr>
        <w:t> </w:t>
      </w:r>
      <w:r>
        <w:rPr/>
        <w:t>5</w:t>
      </w:r>
      <w:r>
        <w:rPr>
          <w:spacing w:val="-4"/>
        </w:rPr>
        <w:t> </w:t>
      </w:r>
      <w:r>
        <w:rPr/>
        <w:t>-</w:t>
      </w:r>
      <w:r>
        <w:rPr>
          <w:spacing w:val="-7"/>
        </w:rPr>
        <w:t> </w:t>
      </w:r>
      <w:r>
        <w:rPr/>
        <w:t>NitPrev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</w:p>
    <w:tbl>
      <w:tblPr>
        <w:tblW w:w="0" w:type="auto"/>
        <w:jc w:val="left"/>
        <w:tblInd w:w="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5"/>
        <w:gridCol w:w="2529"/>
        <w:gridCol w:w="796"/>
        <w:gridCol w:w="4755"/>
        <w:gridCol w:w="1224"/>
        <w:gridCol w:w="1811"/>
        <w:gridCol w:w="2020"/>
      </w:tblGrid>
      <w:tr>
        <w:trPr>
          <w:trHeight w:val="320" w:hRule="atLeast"/>
        </w:trPr>
        <w:tc>
          <w:tcPr>
            <w:tcW w:w="3134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26"/>
              </w:rPr>
            </w:pPr>
          </w:p>
          <w:p>
            <w:pPr>
              <w:pStyle w:val="TableParagraph"/>
              <w:ind w:left="63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</w:t>
            </w:r>
            <w:r>
              <w:rPr>
                <w:rFonts w:ascii="Arial" w:hAnsi="Arial"/>
                <w:b/>
                <w:spacing w:val="-4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de</w:t>
            </w:r>
            <w:r>
              <w:rPr>
                <w:rFonts w:ascii="Arial" w:hAnsi="Arial"/>
                <w:b/>
                <w:spacing w:val="-3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avaliação</w:t>
            </w:r>
          </w:p>
        </w:tc>
        <w:tc>
          <w:tcPr>
            <w:tcW w:w="5551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8"/>
              <w:rPr>
                <w:rFonts w:ascii="Calibri"/>
                <w:sz w:val="26"/>
              </w:rPr>
            </w:pPr>
          </w:p>
          <w:p>
            <w:pPr>
              <w:pStyle w:val="TableParagraph"/>
              <w:ind w:left="2490" w:right="245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Risco</w:t>
            </w:r>
          </w:p>
        </w:tc>
        <w:tc>
          <w:tcPr>
            <w:tcW w:w="5055" w:type="dxa"/>
            <w:gridSpan w:val="3"/>
            <w:shd w:val="clear" w:color="auto" w:fill="BEBEBE"/>
          </w:tcPr>
          <w:p>
            <w:pPr>
              <w:pStyle w:val="TableParagraph"/>
              <w:spacing w:before="15"/>
              <w:ind w:left="1803" w:right="1761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Risco</w:t>
            </w:r>
            <w:r>
              <w:rPr>
                <w:rFonts w:ascii="Calibri"/>
                <w:b/>
                <w:spacing w:val="-10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mitigado?</w:t>
            </w:r>
          </w:p>
        </w:tc>
      </w:tr>
      <w:tr>
        <w:trPr>
          <w:trHeight w:val="564" w:hRule="atLeast"/>
        </w:trPr>
        <w:tc>
          <w:tcPr>
            <w:tcW w:w="3134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51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  <w:shd w:val="clear" w:color="auto" w:fill="BEBEBE"/>
          </w:tcPr>
          <w:p>
            <w:pPr>
              <w:pStyle w:val="TableParagraph"/>
              <w:spacing w:before="147"/>
              <w:ind w:left="433" w:right="394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Sim</w:t>
            </w:r>
          </w:p>
        </w:tc>
        <w:tc>
          <w:tcPr>
            <w:tcW w:w="1811" w:type="dxa"/>
            <w:shd w:val="clear" w:color="auto" w:fill="BEBEBE"/>
          </w:tcPr>
          <w:p>
            <w:pPr>
              <w:pStyle w:val="TableParagraph"/>
              <w:spacing w:before="5"/>
              <w:ind w:left="284" w:right="259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Parcialmente</w:t>
            </w:r>
          </w:p>
          <w:p>
            <w:pPr>
              <w:pStyle w:val="TableParagraph"/>
              <w:spacing w:line="254" w:lineRule="exact" w:before="16"/>
              <w:ind w:left="284" w:right="256"/>
              <w:jc w:val="center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Mitigado</w:t>
            </w:r>
          </w:p>
        </w:tc>
        <w:tc>
          <w:tcPr>
            <w:tcW w:w="2020" w:type="dxa"/>
            <w:shd w:val="clear" w:color="auto" w:fill="BEBEBE"/>
          </w:tcPr>
          <w:p>
            <w:pPr>
              <w:pStyle w:val="TableParagraph"/>
              <w:spacing w:before="147"/>
              <w:ind w:left="815" w:right="772"/>
              <w:jc w:val="center"/>
              <w:rPr>
                <w:rFonts w:ascii="Calibri" w:hAnsi="Calibri"/>
                <w:b/>
                <w:sz w:val="22"/>
              </w:rPr>
            </w:pPr>
            <w:r>
              <w:rPr>
                <w:rFonts w:ascii="Calibri" w:hAnsi="Calibri"/>
                <w:b/>
                <w:sz w:val="22"/>
              </w:rPr>
              <w:t>Não</w:t>
            </w:r>
          </w:p>
        </w:tc>
      </w:tr>
      <w:tr>
        <w:trPr>
          <w:trHeight w:val="762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5.1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spacing w:line="264" w:lineRule="auto" w:before="138"/>
              <w:ind w:left="35" w:right="352"/>
              <w:rPr>
                <w:sz w:val="20"/>
              </w:rPr>
            </w:pPr>
            <w:r>
              <w:rPr>
                <w:sz w:val="20"/>
              </w:rPr>
              <w:t>Equilíbrio Financeiro do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RPPS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5.1.1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z w:val="20"/>
              </w:rPr>
              <w:t>Ausência de equilíbrio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financeiro 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RPPS.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1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33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5.1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line="264" w:lineRule="auto" w:before="154"/>
              <w:ind w:left="35" w:right="352"/>
              <w:rPr>
                <w:sz w:val="20"/>
              </w:rPr>
            </w:pPr>
            <w:r>
              <w:rPr>
                <w:sz w:val="20"/>
              </w:rPr>
              <w:t>Equilíbrio Financeiro do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RPPS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23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5.1.2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line="264" w:lineRule="auto" w:before="154"/>
              <w:ind w:left="36"/>
              <w:rPr>
                <w:sz w:val="20"/>
              </w:rPr>
            </w:pPr>
            <w:r>
              <w:rPr>
                <w:sz w:val="20"/>
              </w:rPr>
              <w:t>Utilização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indevida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1"/>
                <w:sz w:val="20"/>
              </w:rPr>
              <w:t> </w:t>
            </w:r>
            <w:r>
              <w:rPr>
                <w:sz w:val="20"/>
              </w:rPr>
              <w:t>recursos</w:t>
            </w:r>
            <w:r>
              <w:rPr>
                <w:spacing w:val="12"/>
                <w:sz w:val="20"/>
              </w:rPr>
              <w:t> </w:t>
            </w:r>
            <w:r>
              <w:rPr>
                <w:sz w:val="20"/>
              </w:rPr>
              <w:t>previdenciários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para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pagamento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benefícios.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733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5.1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2"/>
              <w:rPr>
                <w:rFonts w:ascii="Calibri"/>
                <w:sz w:val="29"/>
              </w:rPr>
            </w:pPr>
          </w:p>
          <w:p>
            <w:pPr>
              <w:pStyle w:val="TableParagraph"/>
              <w:spacing w:line="266" w:lineRule="auto"/>
              <w:ind w:left="35" w:right="352"/>
              <w:rPr>
                <w:sz w:val="20"/>
              </w:rPr>
            </w:pPr>
            <w:r>
              <w:rPr>
                <w:sz w:val="20"/>
              </w:rPr>
              <w:t>Equilíbrio Financeiro do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RPPS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5"/>
              <w:rPr>
                <w:rFonts w:ascii="Calibri"/>
                <w:sz w:val="17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5.1.3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spacing w:before="4"/>
              <w:rPr>
                <w:rFonts w:ascii="Calibri"/>
                <w:sz w:val="30"/>
              </w:rPr>
            </w:pPr>
          </w:p>
          <w:p>
            <w:pPr>
              <w:pStyle w:val="TableParagraph"/>
              <w:spacing w:line="264" w:lineRule="auto" w:before="1"/>
              <w:ind w:left="36" w:right="8"/>
              <w:jc w:val="both"/>
              <w:rPr>
                <w:sz w:val="20"/>
              </w:rPr>
            </w:pPr>
            <w:r>
              <w:rPr>
                <w:sz w:val="20"/>
              </w:rPr>
              <w:t>O montante da “provisão matemática previdenciária”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registrada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Balanço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Patrimonial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guardar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paridade com o informado no Relatório de Avaliação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Atuarial.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392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25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5.2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spacing w:before="8"/>
              <w:rPr>
                <w:rFonts w:ascii="Calibri"/>
                <w:sz w:val="26"/>
              </w:rPr>
            </w:pPr>
          </w:p>
          <w:p>
            <w:pPr>
              <w:pStyle w:val="TableParagraph"/>
              <w:spacing w:line="264" w:lineRule="auto"/>
              <w:ind w:left="35" w:right="1198"/>
              <w:jc w:val="both"/>
              <w:rPr>
                <w:sz w:val="20"/>
              </w:rPr>
            </w:pPr>
            <w:r>
              <w:rPr>
                <w:sz w:val="20"/>
              </w:rPr>
              <w:t>Certificado de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Regularidade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Previdenciária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25"/>
              </w:rPr>
            </w:pPr>
          </w:p>
          <w:p>
            <w:pPr>
              <w:pStyle w:val="TableParagraph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5.2.1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spacing w:before="8"/>
              <w:rPr>
                <w:rFonts w:ascii="Calibri"/>
                <w:sz w:val="26"/>
              </w:rPr>
            </w:pPr>
          </w:p>
          <w:p>
            <w:pPr>
              <w:pStyle w:val="TableParagraph"/>
              <w:spacing w:line="264" w:lineRule="auto"/>
              <w:ind w:left="36" w:right="9"/>
              <w:jc w:val="both"/>
              <w:rPr>
                <w:sz w:val="20"/>
              </w:rPr>
            </w:pPr>
            <w:r>
              <w:rPr>
                <w:sz w:val="20"/>
              </w:rPr>
              <w:t>A não observância ao cumprimento dos critérios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exigências estabelecidos na Lei nº 9.717, de 27 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novembro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1998.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1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120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5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5.3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5"/>
              <w:ind w:left="35"/>
              <w:rPr>
                <w:sz w:val="20"/>
              </w:rPr>
            </w:pPr>
            <w:r>
              <w:rPr>
                <w:sz w:val="20"/>
              </w:rPr>
              <w:t>EC/109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5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5.3.1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26"/>
              </w:rPr>
            </w:pPr>
          </w:p>
          <w:p>
            <w:pPr>
              <w:pStyle w:val="TableParagraph"/>
              <w:spacing w:line="264" w:lineRule="auto"/>
              <w:ind w:left="36" w:right="2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observar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as</w:t>
            </w:r>
            <w:r>
              <w:rPr>
                <w:spacing w:val="47"/>
                <w:sz w:val="20"/>
              </w:rPr>
              <w:t> </w:t>
            </w:r>
            <w:r>
              <w:rPr>
                <w:sz w:val="20"/>
              </w:rPr>
              <w:t>mudanças</w:t>
            </w:r>
            <w:r>
              <w:rPr>
                <w:spacing w:val="43"/>
                <w:sz w:val="20"/>
              </w:rPr>
              <w:t> </w:t>
            </w:r>
            <w:r>
              <w:rPr>
                <w:sz w:val="20"/>
              </w:rPr>
              <w:t>trazidas</w:t>
            </w:r>
            <w:r>
              <w:rPr>
                <w:spacing w:val="48"/>
                <w:sz w:val="20"/>
              </w:rPr>
              <w:t> </w:t>
            </w:r>
            <w:r>
              <w:rPr>
                <w:sz w:val="20"/>
              </w:rPr>
              <w:t>pela</w:t>
            </w:r>
            <w:r>
              <w:rPr>
                <w:spacing w:val="42"/>
                <w:sz w:val="20"/>
              </w:rPr>
              <w:t> </w:t>
            </w:r>
            <w:r>
              <w:rPr>
                <w:sz w:val="20"/>
              </w:rPr>
              <w:t>EC/109,</w:t>
            </w:r>
            <w:r>
              <w:rPr>
                <w:spacing w:val="-52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que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tange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ao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RPPS.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1121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6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5.4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spacing w:line="264" w:lineRule="auto" w:before="190"/>
              <w:ind w:left="35" w:right="230"/>
              <w:rPr>
                <w:sz w:val="20"/>
              </w:rPr>
            </w:pPr>
            <w:r>
              <w:rPr>
                <w:sz w:val="20"/>
              </w:rPr>
              <w:t>Repasses Mensais 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Parcelamentos Firmados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até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2018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76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5.4.1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spacing w:line="264" w:lineRule="auto" w:before="65"/>
              <w:ind w:left="36" w:right="9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impontualidade nos repasses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mensais</w:t>
            </w:r>
            <w:r>
              <w:rPr>
                <w:spacing w:val="55"/>
                <w:sz w:val="20"/>
              </w:rPr>
              <w:t> </w:t>
            </w:r>
            <w:r>
              <w:rPr>
                <w:sz w:val="20"/>
              </w:rPr>
              <w:t>ao órgão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instituto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previdência,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assim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descumprimento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parcelamentos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porventura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firmados até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exercício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2018.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1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  <w:tr>
        <w:trPr>
          <w:trHeight w:val="2175" w:hRule="atLeast"/>
        </w:trPr>
        <w:tc>
          <w:tcPr>
            <w:tcW w:w="60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67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5.5</w:t>
            </w:r>
          </w:p>
        </w:tc>
        <w:tc>
          <w:tcPr>
            <w:tcW w:w="252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"/>
              <w:rPr>
                <w:rFonts w:ascii="Calibri"/>
                <w:sz w:val="25"/>
              </w:rPr>
            </w:pPr>
          </w:p>
          <w:p>
            <w:pPr>
              <w:pStyle w:val="TableParagraph"/>
              <w:spacing w:line="264" w:lineRule="auto" w:before="1"/>
              <w:ind w:left="35" w:right="386"/>
              <w:rPr>
                <w:sz w:val="20"/>
              </w:rPr>
            </w:pPr>
            <w:r>
              <w:rPr>
                <w:sz w:val="20"/>
              </w:rPr>
              <w:t>Regime de Previdência</w:t>
            </w:r>
            <w:r>
              <w:rPr>
                <w:spacing w:val="-53"/>
                <w:sz w:val="20"/>
              </w:rPr>
              <w:t> </w:t>
            </w:r>
            <w:r>
              <w:rPr>
                <w:sz w:val="20"/>
              </w:rPr>
              <w:t>Complementar</w:t>
            </w:r>
            <w:r>
              <w:rPr>
                <w:spacing w:val="2"/>
                <w:sz w:val="20"/>
              </w:rPr>
              <w:t> </w:t>
            </w:r>
            <w:r>
              <w:rPr>
                <w:sz w:val="20"/>
              </w:rPr>
              <w:t>(RPC)</w:t>
            </w:r>
          </w:p>
        </w:tc>
        <w:tc>
          <w:tcPr>
            <w:tcW w:w="796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spacing w:before="167"/>
              <w:ind w:left="35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color w:val="0D0D0D"/>
                <w:sz w:val="20"/>
              </w:rPr>
              <w:t>5.5.1</w:t>
            </w:r>
          </w:p>
        </w:tc>
        <w:tc>
          <w:tcPr>
            <w:tcW w:w="4755" w:type="dxa"/>
            <w:shd w:val="clear" w:color="auto" w:fill="FFF1CC"/>
          </w:tcPr>
          <w:p>
            <w:pPr>
              <w:pStyle w:val="TableParagraph"/>
              <w:spacing w:before="3"/>
              <w:rPr>
                <w:rFonts w:ascii="Calibri"/>
                <w:sz w:val="17"/>
              </w:rPr>
            </w:pPr>
          </w:p>
          <w:p>
            <w:pPr>
              <w:pStyle w:val="TableParagraph"/>
              <w:spacing w:line="264" w:lineRule="auto"/>
              <w:ind w:left="36" w:right="9"/>
              <w:jc w:val="both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implementação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Regime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Previdência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Complementar,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conforme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art.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40º,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§14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§15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CF/88,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alterados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pela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EC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n°103/2019,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ou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descumprimento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prazo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até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30/06/2022,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impedindo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emissão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do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Certificado</w:t>
            </w:r>
            <w:r>
              <w:rPr>
                <w:spacing w:val="56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Regularidade Previdenciária (CRP) e impactando a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análise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Prestação de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Contas de Governo.</w:t>
            </w:r>
          </w:p>
        </w:tc>
        <w:tc>
          <w:tcPr>
            <w:tcW w:w="1224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1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20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1120" w:hRule="atLeast"/>
        </w:trPr>
        <w:tc>
          <w:tcPr>
            <w:tcW w:w="13740" w:type="dxa"/>
            <w:gridSpan w:val="7"/>
          </w:tcPr>
          <w:p>
            <w:pPr>
              <w:pStyle w:val="TableParagraph"/>
              <w:spacing w:before="2"/>
              <w:ind w:left="35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Providências</w:t>
            </w:r>
            <w:r>
              <w:rPr>
                <w:rFonts w:ascii="Arial" w:hAnsi="Arial"/>
                <w:b/>
                <w:spacing w:val="-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adotadas:</w:t>
            </w:r>
          </w:p>
        </w:tc>
      </w:tr>
    </w:tbl>
    <w:sectPr>
      <w:type w:val="continuous"/>
      <w:pgSz w:w="17260" w:h="24410"/>
      <w:pgMar w:top="1740" w:bottom="280" w:left="182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Fioretti</dc:creator>
  <dcterms:created xsi:type="dcterms:W3CDTF">2022-04-05T19:07:17Z</dcterms:created>
  <dcterms:modified xsi:type="dcterms:W3CDTF">2022-04-05T19:07:17Z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2022-04-05T00:00:00Z</vt:filetime>
  </property>
</Properties>
</file>